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Technical Abstract – 250 Words</w:t>
      </w:r>
    </w:p>
    <w:p>
      <w:r>
        <w:t>Title:</w:t>
        <w:br/>
        <w:t>The Trinary Physics of Consciousness: A Unified Framework for Longitudinal Energy, Non-Locality, and Etheric Technological Applications</w:t>
        <w:br/>
        <w:br/>
        <w:t>Abstract:</w:t>
        <w:br/>
        <w:t>This paper introduces a unified scientific framework termed Etheric Physics, grounded in the interaction between consciousness and non-Hertzian longitudinal energy structures within the field. Integrating principles of trinary recursion (0–1–0), VPS (Volts-Per-Second) frequency measurement, and noetic field modulation, the model proposes that consciousness acts as both an observer and an active resonance generator within the zero-point lattice.</w:t>
        <w:br/>
        <w:br/>
        <w:t>Drawing on over 20 years of contemplative neurophysics, meditation research, and noetic phenomenology, the framework outlines how coherence states, resonance entrainment, and field attunement enable measurable effects on biological systems, subtle energy environments, and consciousness-mediated technologies. The paper presents a suite of prototype devices — including Tempus Etheria, the Cosmic Ether Portal (CEP), S.A.N.S., and the Harmonic Soul Resonator — demonstrating practical applications of etheric physics through longitudinal energy tuning, temporal perception modulation, and biofield stabilization.</w:t>
        <w:br/>
        <w:br/>
        <w:t>The theory further introduces TELIA, a recursive breath-encoded language for field interaction, and the Trinary Codex, which models creation as a pulse-based sequence of potential (0), manifestation (1), and return (0). Together, these systems offer a comprehensive architecture that bridges consciousness studies, subtle energy research, and emerging zero-point technologies.</w:t>
        <w:br/>
        <w:br/>
        <w:t>This abstract proposes Etheric Physics as a new scientific direction capable of integrating subjective experience with objective field dynamics — opening pathways for advanced research in resonance-based healing, consciousness engineering, and non-local information transfer.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